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328</w:t>
      </w:r>
    </w:p>
    <w:p>
      <w:r>
        <w:t>Bundesgericht (BGE), 1999-07-06, FR</w:t>
      </w:r>
    </w:p>
    <w:p>
      <w:r>
        <w:rPr>
          <w:b/>
        </w:rPr>
        <w:t xml:space="preserve">Quelle: </w:t>
      </w:r>
      <w:r>
        <w:t>https://mcp.opencaselaw.ch/entscheid/bge_125 III 328</w:t>
      </w:r>
    </w:p>
    <w:p>
      <w:r>
        <w:t>FR: ATF 125 III 328</w:t>
      </w:r>
    </w:p>
    <w:p>
      <w:r>
        <w:t>IT: DTF 125 III 328</w:t>
      </w:r>
    </w:p>
    <w:p>
      <w:pPr>
        <w:pStyle w:val="Heading2"/>
      </w:pPr>
      <w:r>
        <w:t>Regeste</w:t>
      </w:r>
    </w:p>
    <w:p>
      <w:r>
        <w:t>Regeste Das Urheberrecht an architektonischen Werken im Verhältnis zum Prinzip der sogenannten «freien Benützung» (Art. 3 Abs. 1 URG und Art. 11 Abs. 1 URG). Bei der Beurteilung der Individualität oder Originalität des Werkes spielt der Freiheitsspielraum des Urhebers eine Rolle (Art. 4b). Definition des Prinzips der sogenannten «freien Benutzung» (E. 4c). Abgrenzung zwischen den tatsächlichen Feststellungen und den Rechtsfragen (E. 4d).</w:t>
      </w:r>
    </w:p>
    <w:p>
      <w:pPr>
        <w:pStyle w:val="Heading2"/>
      </w:pPr>
      <w:r>
        <w:t>Erwägungen</w:t>
      </w:r>
    </w:p>
    <w:p>
      <w:r>
        <w:rPr>
          <w:b/>
        </w:rPr>
        <w:t>E. 4</w:t>
      </w:r>
    </w:p>
    <w:p>
      <w:r>
        <w:t>b) Les oeuvres ayant un contenu scientifique ou technique bénéficient de la protection du droit d'auteur, de même que les oeuvres d'architecture ( art. 2 al. 2 let . d et e de la loi fédérale sur le BGE 125 III 328 S. 331 droit d'auteur et les droits voisins [LDA; RS 231.1]). Les plans et les maquettes qui constituent l'expression d'une oeuvre architecturale protégée sous une forme graphique jouissent de la protection du droit d'auteur, indépendamment du fait que la construction ait été réalisée ou non (IVAN CHERPILLOD/FRANÇOIS DESSEMONTET, Les droits d'auteur, in: Le droit de l'architecte, 3e éd., n. 1351 p. 414; KAMEN TROLLER, Manuel du droit suisse des biens immatériels, tome I, 2e éd., n. 2.5 p. 282; MARTIN J. LUTZ, Das Urheberrecht des Architekten, in: Baurechtstagung 1995, vol. 2, p. 32/33). Selon la jurisprudence ( ATF 120 II 65 consid. 6a), le caractère d'oeuvre protégeable peut s'attacher à un groupe de bâtiments qui constituent une unité d'un point de vue fonctionnel, esthétique ou urbanistique. Le droit d'auteur protège l'expression concrète de l'oeuvre, qui ne contient pas uniquement des éléments relevant du domaine public mais qui dans son ensemble apparaît comme le résultat d'une création intellectuelle à caractère personnel ou l'expression d'une nouvelle idée originale. L'individualité ou l'originalité caractérisent l'oeuvre protégée en droit d'auteur. Il ne convient pas de mesurer l'individualité ou l'originalité de chaque création à la même aune; au contraire, la liberté de manoeuvre du créateur doit entrer en ligne de compte. Lorsque cette liberté est restreinte, une activité indépendante réduite suffira à fonder la protection; il en va notamment ainsi pour les oeuvres d'architecture en raison de leur usage pratique et des contraintes techniques qu'elles doivent respecter (cf. également DENIS BARRELET/WILLI EGLOFF, Le nouveau droit d'auteur, Commentaire de la loi fédérale sur le droit d'auteur et les droits voisins, n. 8 ad art. 2 LDA , p. 10). Aussi, pour obtenir la protection du droit d'auteur, l'architecte ne doit-il pas créer quelque chose d'absolument nouveau, mais il peut se contenter d'une création qui est seulement relativement et partiellement nouvelle. La LDA n'accorde toutefois pas sa protection à l'architecte lorsqu'il procède à un simple apport artisanal par la combinaison et la modification de formes et de lignes connues ou lorsqu'il n'y a pas place pour une création individuelle dans les circonstances de l'espèce. c) Il est incontestable que les plans déposés par le demandeur le 9 août 1993, qui ont permis aux maîtres d'obtenir l'autorisation préalable de construire, constituent une oeuvre protégée au sens de l' art. 2 LDA . Il en découle trois cas de figure. Si le défendeur Niederhauser, lequel a repris le mandat d'architecte qui avait été confié au recourant en mars 1992, a simplement réutilisé ou recopié les plans du demandeur pour élaborer son projet BGE 125 III 328 S. 332 d'octobre 1998, il a transgressé l' art. 10 LDA et doit répondre d'un plagiat, à l'instar des autres défendeurs ( art. 50 al. 1 CO ). Si l'architecte précité, sur la base du projet du demandeur, a créé, par des modifications sur le plan qualitatif, une oeuvre nouvelle à travers laquelle transparaît néanmoins l'oeuvre première, il a alors conçu une oeuvre dérivée (dite aussi oeuvre de seconde main) telle que l'entend l' art. 3 LDA (cf. sur cette notion: BARRELET/EGLOFF, op.cit., n. 1 ss ad art. 3 LDA , p. 18/19; KAMEN TROLLER, Manuel du droit suisse des biens immatériels, op.cit., tome I, n. 3.4, p. 258; ROLAND VON BÜREN, Der Werkbegriff, in: Schweizerisches Immaterialgüter- und Wettbewerbsrecht, vol. II/1, n. 4.1, p. 119 s). Or l'auteur a le droit à l'intégrité de l'oeuvre, autrement dit le droit exclusif de décider si, quand et de quelle manière l'oeuvre peut être modifiée, par exemple pour créer une oeuvre dérivée ( art. 11 al. 1 let. b LDA ). Partant, l'architecte Niederhauser, faute d'avoir obtenu l'accord du demandeur, titulaire des droits sur l'oeuvre première, aurait dans cette hypothèse également violé le droit d'auteur du recourant (cf. art. 3 al. 4 LDA ), en concours avec les intimés nos 2 à 7. Si l'architecte intimé s'est contenté de s'inspirer du projet créé par le demandeur et que ses emprunts à l'oeuvre préexistante sont si modestes qu'ils s'effacent devant l'individualité de sa nouvelle oeuvre, c'est-à-dire si les éléments individuels de l'oeuvre du demandeur qui ont été repris passent à l'arrière-plan de la création dudit défendeur, il y a alors «libre utilisation» (freie Benutzung), laquelle ne porte pas atteinte aux droits d'utilisation de l'oeuvre préexistante (BARRELET/EGLOFF, op.cit., n. 5 ad art. 3 LDA , p. 19, et n. 12 ad art. 11 LDA , p. 59/60; CHERPILLOD/DESSEMONTET, op.cit., n. 1343, p. 411; KAMEN TROLLER, op.cit., tome I, n. 3.4.1, p. 259; IVAN CHERPILLOD, Schranken des Urheberrechts, in: Schweizerisches Immaterialgüter- und Wettbewerbsrecht, vol. II/1, no 11, p. 277 ss; ROLAND VON BÜREN, op.cit., n. 4.2, p. 121 s; ANNE-VIRGINIE GAIDE, La protection des personnages fictifs par le droit d'auteur, thèse Lausanne 1998, p. 195 ss; contra: FRANÇOIS DESSEMONTET, Inhalt des Urheberrechts, in: Schweizerisches Immaterialgüter- und Wettbewerbsrecht, vol. II/1, n. 4.3 p. 197 ss, spéc. p. 199; ancien droit: cf. ATF 85 II 120 consid. 8 p. 129 qui déclarait la «libre utilisation» un principe non écrit du droit suisse). Le notion de «libre utilisation» doit cependant être interprétée restrictivement (IVAN CHERPILLOD, Schranken des Urheberrechts, ibidem, spéc. p. 279). d) aa) Relève du fait la question de savoir comment une oeuvre se différencie d'une autre création. C'est en revanche une question de BGE 125 III 328 S. 333 droit que de juger si la notion juridique de l'oeuvre a été correctement appliquée et de dire si, au vu des faits retenus, une nouvelle oeuvre a été créée ( ATF 100 II 167 consid. 4; ATF 56 II 413 consid. 2 p. 418; CHERPILLOD/DESSEMONTET, op.cit., n. 1348, p. 413). bb) En l'espèce, il résulte de l'état de fait souverain ( art. 63 al. 2 OJ ) que les concordances entre le projet du demandeur et celui de l'architecte intimé se résument dans l'implantation de villas (25 au maximum selon les plans du recourant, 24 selon le plan déposé le 31 octobre 1998) dans trois corps de bâtiments. Ainsi, quand bien même la disposition des immeubles était imposée par la pente de la colline au pied de laquelle il était prévu de les construire, ce qui signifiait que l'architecte avait une marge de manoeuvre réduite, leur emplacement n'est plus le même dans le projet de l'architecte Niederhauser. Le premier projet se caractérisait notamment par le fait que chaque villa mitoyenne disposait d'une loggia et était dotée d'un toit plat accessible et recouvert de gazon. Or, selon les plans de l'intimé en cause, chaque villa dispose d'un jardinet et d'une toiture, certes toujours plate, mais recouverte de gravier et rendue inaccessible. Enfin, si dans le projet initial, les façades devaient refléter la spatialité interne des villas et les qualités du site, celles conçues dans le projet d'octobre 1998 ont perdu ces particularités. Il suit de là que si Niederhauser s'est inspiré des plans du demandeur, il les a modifiés de manière substantielle au point que les traits empruntés de l'oeuvre utilisée (trois groupes de bâtiments à toit plat) - dont l'individualité est au reste faible - ont passé entièrement à l'arrière-plan de sa propre création. Il convient donc d'admettre que l'architecte défendeur a utilisé librement l'oeuvre du demandeur, sans violer le droit d'auteur de ce dernier. Quoi qu'en pense le recourant, les constatations de l'arrêt entrepris étaient donc suffisantes pour examiner le grief susmentionné, de sorte qu'un renvoi à l'autorité cantonale au sens de l' art. 64 al. 1 OJ ne saurait entrer en considération. Le moyen doit en conséquence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